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7B0E8B5">
      <w:pPr>
        <w:pStyle w:val="2"/>
        <w:keepNext w:val="0"/>
        <w:keepLines w:val="0"/>
        <w:widowControl/>
        <w:suppressLineNumbers w:val="0"/>
        <w:shd w:val="clear" w:fill="FFFFFF"/>
        <w:spacing w:line="370" w:lineRule="atLeast"/>
        <w:jc w:val="left"/>
        <w:rPr>
          <w:rFonts w:hint="default" w:ascii="仿宋_GB2312" w:hAnsi="仿宋_GB2312" w:eastAsia="仿宋_GB2312" w:cs="仿宋_GB2312"/>
          <w:i w:val="0"/>
          <w:iCs w:val="0"/>
          <w:caps w:val="0"/>
          <w:color w:val="333333"/>
          <w:spacing w:val="0"/>
          <w:sz w:val="32"/>
          <w:szCs w:val="32"/>
          <w:shd w:val="clear" w:fill="FFFFFF"/>
          <w:lang w:val="en-US" w:eastAsia="zh-CN"/>
        </w:rPr>
      </w:pPr>
      <w:r>
        <w:rPr>
          <w:rFonts w:hint="eastAsia" w:ascii="仿宋_GB2312" w:hAnsi="仿宋_GB2312" w:eastAsia="仿宋_GB2312" w:cs="仿宋_GB2312"/>
          <w:i w:val="0"/>
          <w:iCs w:val="0"/>
          <w:caps w:val="0"/>
          <w:color w:val="333333"/>
          <w:spacing w:val="0"/>
          <w:sz w:val="32"/>
          <w:szCs w:val="32"/>
          <w:shd w:val="clear" w:fill="FFFFFF"/>
          <w:lang w:val="en-US" w:eastAsia="zh-CN"/>
        </w:rPr>
        <w:t>附件2</w:t>
      </w:r>
    </w:p>
    <w:p w14:paraId="0A647A1F">
      <w:pPr>
        <w:pStyle w:val="2"/>
        <w:keepNext w:val="0"/>
        <w:keepLines w:val="0"/>
        <w:widowControl/>
        <w:suppressLineNumbers w:val="0"/>
        <w:shd w:val="clear" w:fill="FFFFFF"/>
        <w:spacing w:line="370" w:lineRule="atLeast"/>
        <w:jc w:val="center"/>
        <w:rPr>
          <w:rFonts w:hint="eastAsia" w:ascii="方正小标宋简体" w:hAnsi="方正小标宋简体" w:eastAsia="方正小标宋简体" w:cs="方正小标宋简体"/>
          <w:kern w:val="2"/>
          <w:sz w:val="40"/>
          <w:szCs w:val="40"/>
          <w:lang w:val="en-US" w:eastAsia="zh-CN" w:bidi="ar-SA"/>
        </w:rPr>
      </w:pPr>
      <w:r>
        <w:rPr>
          <w:rFonts w:hint="eastAsia" w:ascii="方正小标宋简体" w:hAnsi="方正小标宋简体" w:eastAsia="方正小标宋简体" w:cs="方正小标宋简体"/>
          <w:kern w:val="2"/>
          <w:sz w:val="40"/>
          <w:szCs w:val="40"/>
          <w:lang w:val="en-US" w:eastAsia="zh-CN" w:bidi="ar-SA"/>
        </w:rPr>
        <w:t>福建水投集团检测科技有限公司第三批招聘笔试及实操考核参考范围</w:t>
      </w:r>
      <w:bookmarkStart w:id="0" w:name="_GoBack"/>
      <w:bookmarkEnd w:id="0"/>
    </w:p>
    <w:p w14:paraId="2C90A6BF">
      <w:pPr>
        <w:keepNext w:val="0"/>
        <w:keepLines w:val="0"/>
        <w:pageBreakBefore w:val="0"/>
        <w:widowControl w:val="0"/>
        <w:numPr>
          <w:ilvl w:val="0"/>
          <w:numId w:val="0"/>
        </w:numPr>
        <w:kinsoku/>
        <w:wordWrap/>
        <w:overflowPunct/>
        <w:topLinePunct w:val="0"/>
        <w:autoSpaceDE/>
        <w:autoSpaceDN/>
        <w:bidi w:val="0"/>
        <w:adjustRightInd/>
        <w:snapToGrid/>
        <w:ind w:firstLine="643" w:firstLineChars="200"/>
        <w:textAlignment w:val="auto"/>
        <w:rPr>
          <w:rFonts w:hint="eastAsia" w:ascii="仿宋_GB2312" w:hAnsi="仿宋_GB2312" w:eastAsia="仿宋_GB2312" w:cs="仿宋_GB2312"/>
          <w:b/>
          <w:bCs/>
          <w:sz w:val="32"/>
          <w:szCs w:val="32"/>
        </w:rPr>
      </w:pPr>
      <w:r>
        <w:rPr>
          <w:rFonts w:hint="eastAsia" w:ascii="仿宋_GB2312" w:hAnsi="仿宋_GB2312" w:eastAsia="仿宋_GB2312" w:cs="仿宋_GB2312"/>
          <w:b/>
          <w:bCs/>
          <w:sz w:val="32"/>
          <w:szCs w:val="32"/>
        </w:rPr>
        <w:t>一、行政能力综合测试</w:t>
      </w:r>
    </w:p>
    <w:p w14:paraId="63E3E0C3">
      <w:pPr>
        <w:keepNext w:val="0"/>
        <w:keepLines w:val="0"/>
        <w:pageBreakBefore w:val="0"/>
        <w:widowControl w:val="0"/>
        <w:numPr>
          <w:ilvl w:val="0"/>
          <w:numId w:val="0"/>
        </w:numPr>
        <w:kinsoku/>
        <w:wordWrap/>
        <w:overflowPunct/>
        <w:topLinePunct w:val="0"/>
        <w:autoSpaceDE/>
        <w:autoSpaceDN/>
        <w:bidi w:val="0"/>
        <w:adjustRightInd/>
        <w:snapToGrid/>
        <w:ind w:firstLine="640" w:firstLineChars="200"/>
        <w:textAlignment w:val="auto"/>
        <w:rPr>
          <w:rFonts w:hint="eastAsia" w:ascii="仿宋_GB2312" w:hAnsi="仿宋_GB2312" w:eastAsia="仿宋_GB2312" w:cs="仿宋_GB2312"/>
          <w:b w:val="0"/>
          <w:bCs w:val="0"/>
          <w:sz w:val="32"/>
          <w:szCs w:val="32"/>
        </w:rPr>
      </w:pPr>
      <w:r>
        <w:rPr>
          <w:rFonts w:hint="eastAsia" w:ascii="仿宋_GB2312" w:hAnsi="仿宋_GB2312" w:eastAsia="仿宋_GB2312" w:cs="仿宋_GB2312"/>
          <w:b w:val="0"/>
          <w:bCs w:val="0"/>
          <w:sz w:val="32"/>
          <w:szCs w:val="32"/>
        </w:rPr>
        <w:t>行政职业能力测验试题分为政治理论、常识判断、言语理解与表达、数量关系、判断推理和资料分析等部分。</w:t>
      </w:r>
    </w:p>
    <w:p w14:paraId="45349E35">
      <w:pPr>
        <w:keepNext w:val="0"/>
        <w:keepLines w:val="0"/>
        <w:pageBreakBefore w:val="0"/>
        <w:widowControl w:val="0"/>
        <w:numPr>
          <w:ilvl w:val="0"/>
          <w:numId w:val="0"/>
        </w:numPr>
        <w:kinsoku/>
        <w:wordWrap/>
        <w:overflowPunct/>
        <w:topLinePunct w:val="0"/>
        <w:autoSpaceDE/>
        <w:autoSpaceDN/>
        <w:bidi w:val="0"/>
        <w:adjustRightInd/>
        <w:snapToGrid/>
        <w:ind w:firstLine="640" w:firstLineChars="200"/>
        <w:textAlignment w:val="auto"/>
        <w:rPr>
          <w:rFonts w:hint="eastAsia" w:ascii="仿宋_GB2312" w:hAnsi="仿宋_GB2312" w:eastAsia="仿宋_GB2312" w:cs="仿宋_GB2312"/>
          <w:b w:val="0"/>
          <w:bCs w:val="0"/>
          <w:sz w:val="32"/>
          <w:szCs w:val="32"/>
        </w:rPr>
      </w:pPr>
      <w:r>
        <w:rPr>
          <w:rFonts w:hint="eastAsia" w:ascii="仿宋_GB2312" w:hAnsi="仿宋_GB2312" w:eastAsia="仿宋_GB2312" w:cs="仿宋_GB2312"/>
          <w:b w:val="0"/>
          <w:bCs w:val="0"/>
          <w:sz w:val="32"/>
          <w:szCs w:val="32"/>
          <w:lang w:eastAsia="zh-CN"/>
        </w:rPr>
        <w:t>（</w:t>
      </w:r>
      <w:r>
        <w:rPr>
          <w:rFonts w:hint="eastAsia" w:ascii="仿宋_GB2312" w:hAnsi="仿宋_GB2312" w:eastAsia="仿宋_GB2312" w:cs="仿宋_GB2312"/>
          <w:b w:val="0"/>
          <w:bCs w:val="0"/>
          <w:sz w:val="32"/>
          <w:szCs w:val="32"/>
          <w:lang w:val="en-US" w:eastAsia="zh-CN"/>
        </w:rPr>
        <w:t>一</w:t>
      </w:r>
      <w:r>
        <w:rPr>
          <w:rFonts w:hint="eastAsia" w:ascii="仿宋_GB2312" w:hAnsi="仿宋_GB2312" w:eastAsia="仿宋_GB2312" w:cs="仿宋_GB2312"/>
          <w:b w:val="0"/>
          <w:bCs w:val="0"/>
          <w:sz w:val="32"/>
          <w:szCs w:val="32"/>
          <w:lang w:eastAsia="zh-CN"/>
        </w:rPr>
        <w:t>）</w:t>
      </w:r>
      <w:r>
        <w:rPr>
          <w:rFonts w:hint="eastAsia" w:ascii="仿宋_GB2312" w:hAnsi="仿宋_GB2312" w:eastAsia="仿宋_GB2312" w:cs="仿宋_GB2312"/>
          <w:b w:val="0"/>
          <w:bCs w:val="0"/>
          <w:sz w:val="32"/>
          <w:szCs w:val="32"/>
        </w:rPr>
        <w:t>政治理论。主要测查报考者学习理解掌握党的创新理论及党和国家方针政策的情况。</w:t>
      </w:r>
    </w:p>
    <w:p w14:paraId="72CE1A90">
      <w:pPr>
        <w:keepNext w:val="0"/>
        <w:keepLines w:val="0"/>
        <w:pageBreakBefore w:val="0"/>
        <w:widowControl w:val="0"/>
        <w:numPr>
          <w:ilvl w:val="0"/>
          <w:numId w:val="0"/>
        </w:numPr>
        <w:kinsoku/>
        <w:wordWrap/>
        <w:overflowPunct/>
        <w:topLinePunct w:val="0"/>
        <w:autoSpaceDE/>
        <w:autoSpaceDN/>
        <w:bidi w:val="0"/>
        <w:adjustRightInd/>
        <w:snapToGrid/>
        <w:ind w:firstLine="640" w:firstLineChars="200"/>
        <w:textAlignment w:val="auto"/>
        <w:rPr>
          <w:rFonts w:hint="eastAsia" w:ascii="仿宋_GB2312" w:hAnsi="仿宋_GB2312" w:eastAsia="仿宋_GB2312" w:cs="仿宋_GB2312"/>
          <w:b w:val="0"/>
          <w:bCs w:val="0"/>
          <w:sz w:val="32"/>
          <w:szCs w:val="32"/>
        </w:rPr>
      </w:pPr>
      <w:r>
        <w:rPr>
          <w:rFonts w:hint="eastAsia" w:ascii="仿宋_GB2312" w:hAnsi="仿宋_GB2312" w:eastAsia="仿宋_GB2312" w:cs="仿宋_GB2312"/>
          <w:b w:val="0"/>
          <w:bCs w:val="0"/>
          <w:sz w:val="32"/>
          <w:szCs w:val="32"/>
          <w:lang w:eastAsia="zh-CN"/>
        </w:rPr>
        <w:t>（</w:t>
      </w:r>
      <w:r>
        <w:rPr>
          <w:rFonts w:hint="eastAsia" w:ascii="仿宋_GB2312" w:hAnsi="仿宋_GB2312" w:eastAsia="仿宋_GB2312" w:cs="仿宋_GB2312"/>
          <w:b w:val="0"/>
          <w:bCs w:val="0"/>
          <w:sz w:val="32"/>
          <w:szCs w:val="32"/>
          <w:lang w:val="en-US" w:eastAsia="zh-CN"/>
        </w:rPr>
        <w:t>二</w:t>
      </w:r>
      <w:r>
        <w:rPr>
          <w:rFonts w:hint="eastAsia" w:ascii="仿宋_GB2312" w:hAnsi="仿宋_GB2312" w:eastAsia="仿宋_GB2312" w:cs="仿宋_GB2312"/>
          <w:b w:val="0"/>
          <w:bCs w:val="0"/>
          <w:sz w:val="32"/>
          <w:szCs w:val="32"/>
          <w:lang w:eastAsia="zh-CN"/>
        </w:rPr>
        <w:t>）</w:t>
      </w:r>
      <w:r>
        <w:rPr>
          <w:rFonts w:hint="eastAsia" w:ascii="仿宋_GB2312" w:hAnsi="仿宋_GB2312" w:eastAsia="仿宋_GB2312" w:cs="仿宋_GB2312"/>
          <w:b w:val="0"/>
          <w:bCs w:val="0"/>
          <w:sz w:val="32"/>
          <w:szCs w:val="32"/>
        </w:rPr>
        <w:t>常识判断。主要测查报考者在经济、文化、社会、生态、法律、科技等方面应知应会的基本知识以及运用这些知识进行分析判断的基本能力。</w:t>
      </w:r>
    </w:p>
    <w:p w14:paraId="72369A5A">
      <w:pPr>
        <w:keepNext w:val="0"/>
        <w:keepLines w:val="0"/>
        <w:pageBreakBefore w:val="0"/>
        <w:widowControl w:val="0"/>
        <w:numPr>
          <w:ilvl w:val="0"/>
          <w:numId w:val="0"/>
        </w:numPr>
        <w:kinsoku/>
        <w:wordWrap/>
        <w:overflowPunct/>
        <w:topLinePunct w:val="0"/>
        <w:autoSpaceDE/>
        <w:autoSpaceDN/>
        <w:bidi w:val="0"/>
        <w:adjustRightInd/>
        <w:snapToGrid/>
        <w:ind w:firstLine="640" w:firstLineChars="200"/>
        <w:textAlignment w:val="auto"/>
        <w:rPr>
          <w:rFonts w:hint="eastAsia" w:ascii="仿宋_GB2312" w:hAnsi="仿宋_GB2312" w:eastAsia="仿宋_GB2312" w:cs="仿宋_GB2312"/>
          <w:b w:val="0"/>
          <w:bCs w:val="0"/>
          <w:sz w:val="32"/>
          <w:szCs w:val="32"/>
        </w:rPr>
      </w:pPr>
      <w:r>
        <w:rPr>
          <w:rFonts w:hint="eastAsia" w:ascii="仿宋_GB2312" w:hAnsi="仿宋_GB2312" w:eastAsia="仿宋_GB2312" w:cs="仿宋_GB2312"/>
          <w:b w:val="0"/>
          <w:bCs w:val="0"/>
          <w:sz w:val="32"/>
          <w:szCs w:val="32"/>
          <w:lang w:eastAsia="zh-CN"/>
        </w:rPr>
        <w:t>（</w:t>
      </w:r>
      <w:r>
        <w:rPr>
          <w:rFonts w:hint="eastAsia" w:ascii="仿宋_GB2312" w:hAnsi="仿宋_GB2312" w:eastAsia="仿宋_GB2312" w:cs="仿宋_GB2312"/>
          <w:b w:val="0"/>
          <w:bCs w:val="0"/>
          <w:sz w:val="32"/>
          <w:szCs w:val="32"/>
          <w:lang w:val="en-US" w:eastAsia="zh-CN"/>
        </w:rPr>
        <w:t>三</w:t>
      </w:r>
      <w:r>
        <w:rPr>
          <w:rFonts w:hint="eastAsia" w:ascii="仿宋_GB2312" w:hAnsi="仿宋_GB2312" w:eastAsia="仿宋_GB2312" w:cs="仿宋_GB2312"/>
          <w:b w:val="0"/>
          <w:bCs w:val="0"/>
          <w:sz w:val="32"/>
          <w:szCs w:val="32"/>
          <w:lang w:eastAsia="zh-CN"/>
        </w:rPr>
        <w:t>）</w:t>
      </w:r>
      <w:r>
        <w:rPr>
          <w:rFonts w:hint="eastAsia" w:ascii="仿宋_GB2312" w:hAnsi="仿宋_GB2312" w:eastAsia="仿宋_GB2312" w:cs="仿宋_GB2312"/>
          <w:b w:val="0"/>
          <w:bCs w:val="0"/>
          <w:sz w:val="32"/>
          <w:szCs w:val="32"/>
        </w:rPr>
        <w:t>言语理解与表达。主要测查报考者运用语言文字进行思考和交流、迅速准确地理解和把握文字材料内涵的能力。包括根据材料查找主要信息及重要细节；正确理解阅读材料中指定词语、语句的含义；概括归纳阅读材料的中心、主旨；判断新组成的语句与阅读材料原意是否一致；根据上下文内容合理推断阅读材料中的隐含信息；判断作者的态度、意图、倾向、目的；准确、得体地遣词用字等。</w:t>
      </w:r>
    </w:p>
    <w:p w14:paraId="237F9084">
      <w:pPr>
        <w:keepNext w:val="0"/>
        <w:keepLines w:val="0"/>
        <w:pageBreakBefore w:val="0"/>
        <w:widowControl w:val="0"/>
        <w:numPr>
          <w:ilvl w:val="0"/>
          <w:numId w:val="0"/>
        </w:numPr>
        <w:kinsoku/>
        <w:wordWrap/>
        <w:overflowPunct/>
        <w:topLinePunct w:val="0"/>
        <w:autoSpaceDE/>
        <w:autoSpaceDN/>
        <w:bidi w:val="0"/>
        <w:adjustRightInd/>
        <w:snapToGrid/>
        <w:ind w:firstLine="640" w:firstLineChars="200"/>
        <w:textAlignment w:val="auto"/>
        <w:rPr>
          <w:rFonts w:hint="eastAsia" w:ascii="仿宋_GB2312" w:hAnsi="仿宋_GB2312" w:eastAsia="仿宋_GB2312" w:cs="仿宋_GB2312"/>
          <w:b w:val="0"/>
          <w:bCs w:val="0"/>
          <w:sz w:val="32"/>
          <w:szCs w:val="32"/>
        </w:rPr>
      </w:pPr>
      <w:r>
        <w:rPr>
          <w:rFonts w:hint="eastAsia" w:ascii="仿宋_GB2312" w:hAnsi="仿宋_GB2312" w:eastAsia="仿宋_GB2312" w:cs="仿宋_GB2312"/>
          <w:b w:val="0"/>
          <w:bCs w:val="0"/>
          <w:sz w:val="32"/>
          <w:szCs w:val="32"/>
          <w:lang w:eastAsia="zh-CN"/>
        </w:rPr>
        <w:t>（</w:t>
      </w:r>
      <w:r>
        <w:rPr>
          <w:rFonts w:hint="eastAsia" w:ascii="仿宋_GB2312" w:hAnsi="仿宋_GB2312" w:eastAsia="仿宋_GB2312" w:cs="仿宋_GB2312"/>
          <w:b w:val="0"/>
          <w:bCs w:val="0"/>
          <w:sz w:val="32"/>
          <w:szCs w:val="32"/>
          <w:lang w:val="en-US" w:eastAsia="zh-CN"/>
        </w:rPr>
        <w:t>四</w:t>
      </w:r>
      <w:r>
        <w:rPr>
          <w:rFonts w:hint="eastAsia" w:ascii="仿宋_GB2312" w:hAnsi="仿宋_GB2312" w:eastAsia="仿宋_GB2312" w:cs="仿宋_GB2312"/>
          <w:b w:val="0"/>
          <w:bCs w:val="0"/>
          <w:sz w:val="32"/>
          <w:szCs w:val="32"/>
          <w:lang w:eastAsia="zh-CN"/>
        </w:rPr>
        <w:t>）</w:t>
      </w:r>
      <w:r>
        <w:rPr>
          <w:rFonts w:hint="eastAsia" w:ascii="仿宋_GB2312" w:hAnsi="仿宋_GB2312" w:eastAsia="仿宋_GB2312" w:cs="仿宋_GB2312"/>
          <w:b w:val="0"/>
          <w:bCs w:val="0"/>
          <w:sz w:val="32"/>
          <w:szCs w:val="32"/>
        </w:rPr>
        <w:t>数量关系。主要测查报考者理解、把握事物间量化关系和解决数量关系问题的能力，主要涉及数据关系的分析、推理、判断、运算等。常用题型有数字推理和数学运算两种。</w:t>
      </w:r>
    </w:p>
    <w:p w14:paraId="70253574">
      <w:pPr>
        <w:keepNext w:val="0"/>
        <w:keepLines w:val="0"/>
        <w:pageBreakBefore w:val="0"/>
        <w:widowControl w:val="0"/>
        <w:numPr>
          <w:ilvl w:val="0"/>
          <w:numId w:val="0"/>
        </w:numPr>
        <w:kinsoku/>
        <w:wordWrap/>
        <w:overflowPunct/>
        <w:topLinePunct w:val="0"/>
        <w:autoSpaceDE/>
        <w:autoSpaceDN/>
        <w:bidi w:val="0"/>
        <w:adjustRightInd/>
        <w:snapToGrid/>
        <w:ind w:firstLine="640" w:firstLineChars="200"/>
        <w:textAlignment w:val="auto"/>
        <w:rPr>
          <w:rFonts w:hint="eastAsia" w:ascii="仿宋_GB2312" w:hAnsi="仿宋_GB2312" w:eastAsia="仿宋_GB2312" w:cs="仿宋_GB2312"/>
          <w:b w:val="0"/>
          <w:bCs w:val="0"/>
          <w:sz w:val="32"/>
          <w:szCs w:val="32"/>
        </w:rPr>
      </w:pPr>
      <w:r>
        <w:rPr>
          <w:rFonts w:hint="eastAsia" w:ascii="仿宋_GB2312" w:hAnsi="仿宋_GB2312" w:eastAsia="仿宋_GB2312" w:cs="仿宋_GB2312"/>
          <w:b w:val="0"/>
          <w:bCs w:val="0"/>
          <w:sz w:val="32"/>
          <w:szCs w:val="32"/>
          <w:lang w:eastAsia="zh-CN"/>
        </w:rPr>
        <w:t>（</w:t>
      </w:r>
      <w:r>
        <w:rPr>
          <w:rFonts w:hint="eastAsia" w:ascii="仿宋_GB2312" w:hAnsi="仿宋_GB2312" w:eastAsia="仿宋_GB2312" w:cs="仿宋_GB2312"/>
          <w:b w:val="0"/>
          <w:bCs w:val="0"/>
          <w:sz w:val="32"/>
          <w:szCs w:val="32"/>
          <w:lang w:val="en-US" w:eastAsia="zh-CN"/>
        </w:rPr>
        <w:t>五</w:t>
      </w:r>
      <w:r>
        <w:rPr>
          <w:rFonts w:hint="eastAsia" w:ascii="仿宋_GB2312" w:hAnsi="仿宋_GB2312" w:eastAsia="仿宋_GB2312" w:cs="仿宋_GB2312"/>
          <w:b w:val="0"/>
          <w:bCs w:val="0"/>
          <w:sz w:val="32"/>
          <w:szCs w:val="32"/>
          <w:lang w:eastAsia="zh-CN"/>
        </w:rPr>
        <w:t>）</w:t>
      </w:r>
      <w:r>
        <w:rPr>
          <w:rFonts w:hint="eastAsia" w:ascii="仿宋_GB2312" w:hAnsi="仿宋_GB2312" w:eastAsia="仿宋_GB2312" w:cs="仿宋_GB2312"/>
          <w:b w:val="0"/>
          <w:bCs w:val="0"/>
          <w:sz w:val="32"/>
          <w:szCs w:val="32"/>
        </w:rPr>
        <w:t>判断推理。主要测查报考者对各种事物关系的分析推理能力，主要涉及对图形、语词概念、事物关系和文字材料的理解、比较、组合、演绎和归纳等。常用题型有图形推理、定义判断、类比推理、逻辑判断四种。</w:t>
      </w:r>
    </w:p>
    <w:p w14:paraId="1E47FAD4">
      <w:pPr>
        <w:keepNext w:val="0"/>
        <w:keepLines w:val="0"/>
        <w:pageBreakBefore w:val="0"/>
        <w:widowControl w:val="0"/>
        <w:numPr>
          <w:ilvl w:val="0"/>
          <w:numId w:val="0"/>
        </w:numPr>
        <w:kinsoku/>
        <w:wordWrap/>
        <w:overflowPunct/>
        <w:topLinePunct w:val="0"/>
        <w:autoSpaceDE/>
        <w:autoSpaceDN/>
        <w:bidi w:val="0"/>
        <w:adjustRightInd/>
        <w:snapToGrid/>
        <w:ind w:firstLine="640" w:firstLineChars="200"/>
        <w:textAlignment w:val="auto"/>
        <w:rPr>
          <w:rFonts w:hint="eastAsia" w:ascii="仿宋_GB2312" w:hAnsi="仿宋_GB2312" w:eastAsia="仿宋_GB2312" w:cs="仿宋_GB2312"/>
          <w:b w:val="0"/>
          <w:bCs w:val="0"/>
          <w:sz w:val="32"/>
          <w:szCs w:val="32"/>
        </w:rPr>
      </w:pPr>
      <w:r>
        <w:rPr>
          <w:rFonts w:hint="eastAsia" w:ascii="仿宋_GB2312" w:hAnsi="仿宋_GB2312" w:eastAsia="仿宋_GB2312" w:cs="仿宋_GB2312"/>
          <w:b w:val="0"/>
          <w:bCs w:val="0"/>
          <w:sz w:val="32"/>
          <w:szCs w:val="32"/>
          <w:lang w:eastAsia="zh-CN"/>
        </w:rPr>
        <w:t>（</w:t>
      </w:r>
      <w:r>
        <w:rPr>
          <w:rFonts w:hint="eastAsia" w:ascii="仿宋_GB2312" w:hAnsi="仿宋_GB2312" w:eastAsia="仿宋_GB2312" w:cs="仿宋_GB2312"/>
          <w:b w:val="0"/>
          <w:bCs w:val="0"/>
          <w:sz w:val="32"/>
          <w:szCs w:val="32"/>
          <w:lang w:val="en-US" w:eastAsia="zh-CN"/>
        </w:rPr>
        <w:t>六</w:t>
      </w:r>
      <w:r>
        <w:rPr>
          <w:rFonts w:hint="eastAsia" w:ascii="仿宋_GB2312" w:hAnsi="仿宋_GB2312" w:eastAsia="仿宋_GB2312" w:cs="仿宋_GB2312"/>
          <w:b w:val="0"/>
          <w:bCs w:val="0"/>
          <w:sz w:val="32"/>
          <w:szCs w:val="32"/>
          <w:lang w:eastAsia="zh-CN"/>
        </w:rPr>
        <w:t>）</w:t>
      </w:r>
      <w:r>
        <w:rPr>
          <w:rFonts w:hint="eastAsia" w:ascii="仿宋_GB2312" w:hAnsi="仿宋_GB2312" w:eastAsia="仿宋_GB2312" w:cs="仿宋_GB2312"/>
          <w:b w:val="0"/>
          <w:bCs w:val="0"/>
          <w:sz w:val="32"/>
          <w:szCs w:val="32"/>
        </w:rPr>
        <w:t>资料分析。主要测查报考者对文字、数字、图表等统计性资料的综合理解与分析加工能力。</w:t>
      </w:r>
    </w:p>
    <w:p w14:paraId="0D4A8451">
      <w:pPr>
        <w:keepNext w:val="0"/>
        <w:keepLines w:val="0"/>
        <w:pageBreakBefore w:val="0"/>
        <w:widowControl w:val="0"/>
        <w:numPr>
          <w:ilvl w:val="0"/>
          <w:numId w:val="0"/>
        </w:numPr>
        <w:kinsoku/>
        <w:wordWrap/>
        <w:overflowPunct/>
        <w:topLinePunct w:val="0"/>
        <w:autoSpaceDE/>
        <w:autoSpaceDN/>
        <w:bidi w:val="0"/>
        <w:adjustRightInd/>
        <w:snapToGrid/>
        <w:ind w:firstLine="643" w:firstLineChars="200"/>
        <w:textAlignment w:val="auto"/>
        <w:rPr>
          <w:rFonts w:hint="eastAsia" w:ascii="仿宋_GB2312" w:hAnsi="仿宋_GB2312" w:eastAsia="仿宋_GB2312" w:cs="仿宋_GB2312"/>
          <w:b/>
          <w:bCs/>
          <w:sz w:val="32"/>
          <w:szCs w:val="32"/>
        </w:rPr>
      </w:pPr>
      <w:r>
        <w:rPr>
          <w:rFonts w:hint="eastAsia" w:ascii="仿宋_GB2312" w:hAnsi="仿宋_GB2312" w:eastAsia="仿宋_GB2312" w:cs="仿宋_GB2312"/>
          <w:b/>
          <w:bCs/>
          <w:sz w:val="32"/>
          <w:szCs w:val="32"/>
          <w:lang w:val="en-US" w:eastAsia="zh-CN"/>
        </w:rPr>
        <w:t>二、</w:t>
      </w:r>
      <w:r>
        <w:rPr>
          <w:rFonts w:hint="eastAsia" w:ascii="仿宋_GB2312" w:hAnsi="仿宋_GB2312" w:eastAsia="仿宋_GB2312" w:cs="仿宋_GB2312"/>
          <w:b/>
          <w:bCs/>
          <w:sz w:val="32"/>
          <w:szCs w:val="32"/>
        </w:rPr>
        <w:t>岗位专业知识测试</w:t>
      </w:r>
    </w:p>
    <w:p w14:paraId="79809D74">
      <w:pPr>
        <w:keepNext w:val="0"/>
        <w:keepLines w:val="0"/>
        <w:pageBreakBefore w:val="0"/>
        <w:widowControl w:val="0"/>
        <w:numPr>
          <w:ilvl w:val="0"/>
          <w:numId w:val="0"/>
        </w:numPr>
        <w:kinsoku/>
        <w:wordWrap/>
        <w:overflowPunct/>
        <w:topLinePunct w:val="0"/>
        <w:autoSpaceDE/>
        <w:autoSpaceDN/>
        <w:bidi w:val="0"/>
        <w:adjustRightInd/>
        <w:snapToGrid/>
        <w:ind w:firstLine="640" w:firstLineChars="200"/>
        <w:textAlignment w:val="auto"/>
        <w:rPr>
          <w:rFonts w:hint="eastAsia" w:ascii="仿宋_GB2312" w:hAnsi="仿宋_GB2312" w:eastAsia="仿宋_GB2312" w:cs="仿宋_GB2312"/>
          <w:b w:val="0"/>
          <w:bCs w:val="0"/>
          <w:sz w:val="32"/>
          <w:szCs w:val="32"/>
        </w:rPr>
      </w:pPr>
      <w:r>
        <w:rPr>
          <w:rFonts w:hint="eastAsia" w:ascii="仿宋_GB2312" w:hAnsi="仿宋_GB2312" w:eastAsia="仿宋_GB2312" w:cs="仿宋_GB2312"/>
          <w:b w:val="0"/>
          <w:bCs w:val="0"/>
          <w:sz w:val="32"/>
          <w:szCs w:val="32"/>
        </w:rPr>
        <w:t>主要测查报考者从事检测技术服务工作所需的专业理论基础和综合应用能力。</w:t>
      </w:r>
      <w:r>
        <w:rPr>
          <w:rFonts w:hint="eastAsia" w:ascii="仿宋_GB2312" w:hAnsi="仿宋_GB2312" w:eastAsia="仿宋_GB2312" w:cs="仿宋_GB2312"/>
          <w:b w:val="0"/>
          <w:bCs w:val="0"/>
          <w:sz w:val="32"/>
          <w:szCs w:val="32"/>
          <w:lang w:val="en-US" w:eastAsia="zh-CN"/>
        </w:rPr>
        <w:t>包括但不限于</w:t>
      </w:r>
      <w:r>
        <w:rPr>
          <w:rFonts w:hint="eastAsia" w:ascii="仿宋_GB2312" w:hAnsi="仿宋_GB2312" w:eastAsia="仿宋_GB2312" w:cs="仿宋_GB2312"/>
          <w:b w:val="0"/>
          <w:bCs w:val="0"/>
          <w:sz w:val="32"/>
          <w:szCs w:val="32"/>
        </w:rPr>
        <w:t>以下方向：</w:t>
      </w:r>
    </w:p>
    <w:p w14:paraId="47098172">
      <w:pPr>
        <w:keepNext w:val="0"/>
        <w:keepLines w:val="0"/>
        <w:pageBreakBefore w:val="0"/>
        <w:widowControl w:val="0"/>
        <w:numPr>
          <w:ilvl w:val="0"/>
          <w:numId w:val="0"/>
        </w:numPr>
        <w:kinsoku/>
        <w:wordWrap/>
        <w:overflowPunct/>
        <w:topLinePunct w:val="0"/>
        <w:autoSpaceDE/>
        <w:autoSpaceDN/>
        <w:bidi w:val="0"/>
        <w:adjustRightInd/>
        <w:snapToGrid/>
        <w:ind w:firstLine="640" w:firstLineChars="200"/>
        <w:textAlignment w:val="auto"/>
        <w:rPr>
          <w:rFonts w:hint="eastAsia" w:ascii="仿宋_GB2312" w:hAnsi="仿宋_GB2312" w:eastAsia="仿宋_GB2312" w:cs="仿宋_GB2312"/>
          <w:b w:val="0"/>
          <w:bCs w:val="0"/>
          <w:sz w:val="32"/>
          <w:szCs w:val="32"/>
        </w:rPr>
      </w:pPr>
      <w:r>
        <w:rPr>
          <w:rFonts w:hint="eastAsia" w:ascii="仿宋_GB2312" w:hAnsi="仿宋_GB2312" w:eastAsia="仿宋_GB2312" w:cs="仿宋_GB2312"/>
          <w:b w:val="0"/>
          <w:bCs w:val="0"/>
          <w:sz w:val="32"/>
          <w:szCs w:val="32"/>
        </w:rPr>
        <w:t>（一）计量校准与仪器分析。主要测查报考者对计量法律法规、计量标准体系、量值传递与溯源、测量误差与不确定度评定等基础理论的掌握；以及常用分析仪器（如气相色谱仪、液相色谱仪、质谱仪、分光光度计等）的工作原理、操作规范与维护保养知识。</w:t>
      </w:r>
    </w:p>
    <w:p w14:paraId="42DCE7E5">
      <w:pPr>
        <w:keepNext w:val="0"/>
        <w:keepLines w:val="0"/>
        <w:pageBreakBefore w:val="0"/>
        <w:widowControl w:val="0"/>
        <w:numPr>
          <w:ilvl w:val="0"/>
          <w:numId w:val="0"/>
        </w:numPr>
        <w:kinsoku/>
        <w:wordWrap/>
        <w:overflowPunct/>
        <w:topLinePunct w:val="0"/>
        <w:autoSpaceDE/>
        <w:autoSpaceDN/>
        <w:bidi w:val="0"/>
        <w:adjustRightInd/>
        <w:snapToGrid/>
        <w:ind w:firstLine="640" w:firstLineChars="200"/>
        <w:textAlignment w:val="auto"/>
        <w:rPr>
          <w:rFonts w:hint="eastAsia" w:ascii="仿宋_GB2312" w:hAnsi="仿宋_GB2312" w:eastAsia="仿宋_GB2312" w:cs="仿宋_GB2312"/>
          <w:b w:val="0"/>
          <w:bCs w:val="0"/>
          <w:sz w:val="32"/>
          <w:szCs w:val="32"/>
        </w:rPr>
      </w:pPr>
      <w:r>
        <w:rPr>
          <w:rFonts w:hint="eastAsia" w:ascii="仿宋_GB2312" w:hAnsi="仿宋_GB2312" w:eastAsia="仿宋_GB2312" w:cs="仿宋_GB2312"/>
          <w:b w:val="0"/>
          <w:bCs w:val="0"/>
          <w:sz w:val="32"/>
          <w:szCs w:val="32"/>
        </w:rPr>
        <w:t>（</w:t>
      </w:r>
      <w:r>
        <w:rPr>
          <w:rFonts w:hint="eastAsia" w:ascii="仿宋_GB2312" w:hAnsi="仿宋_GB2312" w:eastAsia="仿宋_GB2312" w:cs="仿宋_GB2312"/>
          <w:b w:val="0"/>
          <w:bCs w:val="0"/>
          <w:sz w:val="32"/>
          <w:szCs w:val="32"/>
          <w:lang w:val="en-US" w:eastAsia="zh-CN"/>
        </w:rPr>
        <w:t>二</w:t>
      </w:r>
      <w:r>
        <w:rPr>
          <w:rFonts w:hint="eastAsia" w:ascii="仿宋_GB2312" w:hAnsi="仿宋_GB2312" w:eastAsia="仿宋_GB2312" w:cs="仿宋_GB2312"/>
          <w:b w:val="0"/>
          <w:bCs w:val="0"/>
          <w:sz w:val="32"/>
          <w:szCs w:val="32"/>
        </w:rPr>
        <w:t>）环境监测与</w:t>
      </w:r>
      <w:r>
        <w:rPr>
          <w:rFonts w:hint="eastAsia" w:ascii="仿宋_GB2312" w:hAnsi="仿宋_GB2312" w:eastAsia="仿宋_GB2312" w:cs="仿宋_GB2312"/>
          <w:b w:val="0"/>
          <w:bCs w:val="0"/>
          <w:sz w:val="32"/>
          <w:szCs w:val="32"/>
          <w:lang w:val="en-US" w:eastAsia="zh-CN"/>
        </w:rPr>
        <w:t>水质</w:t>
      </w:r>
      <w:r>
        <w:rPr>
          <w:rFonts w:hint="eastAsia" w:ascii="仿宋_GB2312" w:hAnsi="仿宋_GB2312" w:eastAsia="仿宋_GB2312" w:cs="仿宋_GB2312"/>
          <w:b w:val="0"/>
          <w:bCs w:val="0"/>
          <w:sz w:val="32"/>
          <w:szCs w:val="32"/>
        </w:rPr>
        <w:t>检测。主要测查报考者对水、气、土壤等环境要素监测技术规范、微生物检验、理化指标分析及添加剂检测方法等专业知识的掌握；以及实验室质量控制、原始记录规范与检测报告编制能力。</w:t>
      </w:r>
    </w:p>
    <w:p w14:paraId="00F3712D">
      <w:pPr>
        <w:keepNext w:val="0"/>
        <w:keepLines w:val="0"/>
        <w:pageBreakBefore w:val="0"/>
        <w:widowControl w:val="0"/>
        <w:numPr>
          <w:ilvl w:val="0"/>
          <w:numId w:val="0"/>
        </w:numPr>
        <w:kinsoku/>
        <w:wordWrap/>
        <w:overflowPunct/>
        <w:topLinePunct w:val="0"/>
        <w:autoSpaceDE/>
        <w:autoSpaceDN/>
        <w:bidi w:val="0"/>
        <w:adjustRightInd/>
        <w:snapToGrid/>
        <w:ind w:firstLine="640" w:firstLineChars="200"/>
        <w:textAlignment w:val="auto"/>
        <w:rPr>
          <w:rFonts w:hint="eastAsia" w:ascii="仿宋_GB2312" w:hAnsi="仿宋_GB2312" w:eastAsia="仿宋_GB2312" w:cs="仿宋_GB2312"/>
          <w:b w:val="0"/>
          <w:bCs w:val="0"/>
          <w:sz w:val="32"/>
          <w:szCs w:val="32"/>
        </w:rPr>
      </w:pPr>
      <w:r>
        <w:rPr>
          <w:rFonts w:hint="eastAsia" w:ascii="仿宋_GB2312" w:hAnsi="仿宋_GB2312" w:eastAsia="仿宋_GB2312" w:cs="仿宋_GB2312"/>
          <w:b w:val="0"/>
          <w:bCs w:val="0"/>
          <w:sz w:val="32"/>
          <w:szCs w:val="32"/>
        </w:rPr>
        <w:t>（</w:t>
      </w:r>
      <w:r>
        <w:rPr>
          <w:rFonts w:hint="eastAsia" w:ascii="仿宋_GB2312" w:hAnsi="仿宋_GB2312" w:eastAsia="仿宋_GB2312" w:cs="仿宋_GB2312"/>
          <w:b w:val="0"/>
          <w:bCs w:val="0"/>
          <w:sz w:val="32"/>
          <w:szCs w:val="32"/>
          <w:lang w:val="en-US" w:eastAsia="zh-CN"/>
        </w:rPr>
        <w:t>三</w:t>
      </w:r>
      <w:r>
        <w:rPr>
          <w:rFonts w:hint="eastAsia" w:ascii="仿宋_GB2312" w:hAnsi="仿宋_GB2312" w:eastAsia="仿宋_GB2312" w:cs="仿宋_GB2312"/>
          <w:b w:val="0"/>
          <w:bCs w:val="0"/>
          <w:sz w:val="32"/>
          <w:szCs w:val="32"/>
        </w:rPr>
        <w:t>）质量体系与标准法规。主要测查报考者对《计量法》</w:t>
      </w:r>
      <w:r>
        <w:rPr>
          <w:rFonts w:hint="eastAsia" w:ascii="仿宋_GB2312" w:hAnsi="仿宋_GB2312" w:eastAsia="仿宋_GB2312" w:cs="仿宋_GB2312"/>
          <w:b w:val="0"/>
          <w:bCs w:val="0"/>
          <w:sz w:val="32"/>
          <w:szCs w:val="32"/>
          <w:lang w:eastAsia="zh-CN"/>
        </w:rPr>
        <w:t>、</w:t>
      </w:r>
      <w:r>
        <w:rPr>
          <w:rFonts w:hint="eastAsia" w:ascii="仿宋_GB2312" w:hAnsi="仿宋_GB2312" w:eastAsia="仿宋_GB2312" w:cs="仿宋_GB2312"/>
          <w:b w:val="0"/>
          <w:bCs w:val="0"/>
          <w:sz w:val="32"/>
          <w:szCs w:val="32"/>
        </w:rPr>
        <w:t>《产品质量法》</w:t>
      </w:r>
      <w:r>
        <w:rPr>
          <w:rFonts w:hint="eastAsia" w:ascii="仿宋_GB2312" w:hAnsi="仿宋_GB2312" w:eastAsia="仿宋_GB2312" w:cs="仿宋_GB2312"/>
          <w:b w:val="0"/>
          <w:bCs w:val="0"/>
          <w:sz w:val="32"/>
          <w:szCs w:val="32"/>
          <w:lang w:eastAsia="zh-CN"/>
        </w:rPr>
        <w:t>、</w:t>
      </w:r>
      <w:r>
        <w:rPr>
          <w:rFonts w:hint="eastAsia" w:ascii="仿宋_GB2312" w:hAnsi="仿宋_GB2312" w:eastAsia="仿宋_GB2312" w:cs="仿宋_GB2312"/>
          <w:b w:val="0"/>
          <w:bCs w:val="0"/>
          <w:sz w:val="32"/>
          <w:szCs w:val="32"/>
        </w:rPr>
        <w:t>《</w:t>
      </w:r>
      <w:r>
        <w:rPr>
          <w:rFonts w:hint="eastAsia" w:ascii="仿宋_GB2312" w:hAnsi="仿宋_GB2312" w:eastAsia="仿宋_GB2312" w:cs="仿宋_GB2312"/>
          <w:b w:val="0"/>
          <w:bCs w:val="0"/>
          <w:sz w:val="32"/>
          <w:szCs w:val="32"/>
          <w:lang w:val="en-US" w:eastAsia="zh-CN"/>
        </w:rPr>
        <w:t>检验检测机构资质认定评审准则</w:t>
      </w:r>
      <w:r>
        <w:rPr>
          <w:rFonts w:hint="eastAsia" w:ascii="仿宋_GB2312" w:hAnsi="仿宋_GB2312" w:eastAsia="仿宋_GB2312" w:cs="仿宋_GB2312"/>
          <w:b w:val="0"/>
          <w:bCs w:val="0"/>
          <w:sz w:val="32"/>
          <w:szCs w:val="32"/>
        </w:rPr>
        <w:t>》</w:t>
      </w:r>
      <w:r>
        <w:rPr>
          <w:rFonts w:hint="eastAsia" w:ascii="仿宋_GB2312" w:hAnsi="仿宋_GB2312" w:eastAsia="仿宋_GB2312" w:cs="仿宋_GB2312"/>
          <w:b w:val="0"/>
          <w:bCs w:val="0"/>
          <w:sz w:val="32"/>
          <w:szCs w:val="32"/>
          <w:lang w:eastAsia="zh-CN"/>
        </w:rPr>
        <w:t>、《</w:t>
      </w:r>
      <w:r>
        <w:rPr>
          <w:rFonts w:hint="eastAsia" w:ascii="仿宋_GB2312" w:hAnsi="仿宋_GB2312" w:eastAsia="仿宋_GB2312" w:cs="仿宋_GB2312"/>
          <w:b w:val="0"/>
          <w:bCs w:val="0"/>
          <w:sz w:val="32"/>
          <w:szCs w:val="32"/>
          <w:lang w:val="en-US" w:eastAsia="zh-CN"/>
        </w:rPr>
        <w:t>生态环境监测机构评审补充要求》</w:t>
      </w:r>
      <w:r>
        <w:rPr>
          <w:rFonts w:hint="eastAsia" w:ascii="仿宋_GB2312" w:hAnsi="仿宋_GB2312" w:eastAsia="仿宋_GB2312" w:cs="仿宋_GB2312"/>
          <w:b w:val="0"/>
          <w:bCs w:val="0"/>
          <w:sz w:val="32"/>
          <w:szCs w:val="32"/>
        </w:rPr>
        <w:t>等法律法规的熟悉程度；以及</w:t>
      </w:r>
      <w:r>
        <w:rPr>
          <w:rFonts w:hint="eastAsia" w:ascii="仿宋_GB2312" w:hAnsi="仿宋_GB2312" w:eastAsia="仿宋_GB2312" w:cs="仿宋_GB2312"/>
          <w:b w:val="0"/>
          <w:bCs w:val="0"/>
          <w:sz w:val="32"/>
          <w:szCs w:val="32"/>
          <w:lang w:val="en-US" w:eastAsia="zh-CN"/>
        </w:rPr>
        <w:t>GB</w:t>
      </w:r>
      <w:r>
        <w:rPr>
          <w:rFonts w:hint="eastAsia" w:ascii="仿宋_GB2312" w:hAnsi="仿宋_GB2312" w:eastAsia="仿宋_GB2312" w:cs="仿宋_GB2312"/>
          <w:b w:val="0"/>
          <w:bCs w:val="0"/>
          <w:sz w:val="32"/>
          <w:szCs w:val="32"/>
        </w:rPr>
        <w:t>/</w:t>
      </w:r>
      <w:r>
        <w:rPr>
          <w:rFonts w:hint="eastAsia" w:ascii="仿宋_GB2312" w:hAnsi="仿宋_GB2312" w:eastAsia="仿宋_GB2312" w:cs="仿宋_GB2312"/>
          <w:b w:val="0"/>
          <w:bCs w:val="0"/>
          <w:sz w:val="32"/>
          <w:szCs w:val="32"/>
          <w:lang w:val="en-US" w:eastAsia="zh-CN"/>
        </w:rPr>
        <w:t>T</w:t>
      </w:r>
      <w:r>
        <w:rPr>
          <w:rFonts w:hint="eastAsia" w:ascii="仿宋_GB2312" w:hAnsi="仿宋_GB2312" w:eastAsia="仿宋_GB2312" w:cs="仿宋_GB2312"/>
          <w:b w:val="0"/>
          <w:bCs w:val="0"/>
          <w:sz w:val="32"/>
          <w:szCs w:val="32"/>
        </w:rPr>
        <w:t xml:space="preserve"> </w:t>
      </w:r>
      <w:r>
        <w:rPr>
          <w:rFonts w:hint="eastAsia" w:ascii="仿宋_GB2312" w:hAnsi="仿宋_GB2312" w:eastAsia="仿宋_GB2312" w:cs="仿宋_GB2312"/>
          <w:b w:val="0"/>
          <w:bCs w:val="0"/>
          <w:sz w:val="32"/>
          <w:szCs w:val="32"/>
          <w:lang w:val="en-US" w:eastAsia="zh-CN"/>
        </w:rPr>
        <w:t>2</w:t>
      </w:r>
      <w:r>
        <w:rPr>
          <w:rFonts w:hint="eastAsia" w:ascii="仿宋_GB2312" w:hAnsi="仿宋_GB2312" w:eastAsia="仿宋_GB2312" w:cs="仿宋_GB2312"/>
          <w:b w:val="0"/>
          <w:bCs w:val="0"/>
          <w:sz w:val="32"/>
          <w:szCs w:val="32"/>
        </w:rPr>
        <w:t>7025</w:t>
      </w:r>
      <w:r>
        <w:rPr>
          <w:rFonts w:hint="eastAsia" w:ascii="仿宋_GB2312" w:hAnsi="仿宋_GB2312" w:eastAsia="仿宋_GB2312" w:cs="仿宋_GB2312"/>
          <w:b w:val="0"/>
          <w:bCs w:val="0"/>
          <w:sz w:val="32"/>
          <w:szCs w:val="32"/>
          <w:lang w:val="en-US" w:eastAsia="zh-CN"/>
        </w:rPr>
        <w:t>-2019检测和校准实验室能力的通用要求</w:t>
      </w:r>
      <w:r>
        <w:rPr>
          <w:rFonts w:hint="eastAsia" w:ascii="仿宋_GB2312" w:hAnsi="仿宋_GB2312" w:eastAsia="仿宋_GB2312" w:cs="仿宋_GB2312"/>
          <w:b w:val="0"/>
          <w:bCs w:val="0"/>
          <w:sz w:val="32"/>
          <w:szCs w:val="32"/>
        </w:rPr>
        <w:t>与能力验证等质量保障知识的运用能力。</w:t>
      </w:r>
    </w:p>
    <w:p w14:paraId="6CFCD2B4">
      <w:pPr>
        <w:keepNext w:val="0"/>
        <w:keepLines w:val="0"/>
        <w:pageBreakBefore w:val="0"/>
        <w:widowControl w:val="0"/>
        <w:numPr>
          <w:ilvl w:val="0"/>
          <w:numId w:val="0"/>
        </w:numPr>
        <w:kinsoku/>
        <w:wordWrap/>
        <w:overflowPunct/>
        <w:topLinePunct w:val="0"/>
        <w:autoSpaceDE/>
        <w:autoSpaceDN/>
        <w:bidi w:val="0"/>
        <w:adjustRightInd/>
        <w:snapToGrid/>
        <w:ind w:firstLine="643" w:firstLineChars="200"/>
        <w:textAlignment w:val="auto"/>
        <w:rPr>
          <w:rFonts w:hint="eastAsia" w:ascii="仿宋_GB2312" w:hAnsi="仿宋_GB2312" w:eastAsia="仿宋_GB2312" w:cs="仿宋_GB2312"/>
          <w:b/>
          <w:bCs/>
          <w:sz w:val="32"/>
          <w:szCs w:val="32"/>
        </w:rPr>
      </w:pPr>
      <w:r>
        <w:rPr>
          <w:rFonts w:hint="eastAsia" w:ascii="仿宋_GB2312" w:hAnsi="仿宋_GB2312" w:eastAsia="仿宋_GB2312" w:cs="仿宋_GB2312"/>
          <w:b/>
          <w:bCs/>
          <w:sz w:val="32"/>
          <w:szCs w:val="32"/>
        </w:rPr>
        <w:t>三、实操能力测试</w:t>
      </w:r>
    </w:p>
    <w:p w14:paraId="7EC9CB61">
      <w:pPr>
        <w:keepNext w:val="0"/>
        <w:keepLines w:val="0"/>
        <w:pageBreakBefore w:val="0"/>
        <w:widowControl w:val="0"/>
        <w:numPr>
          <w:ilvl w:val="0"/>
          <w:numId w:val="0"/>
        </w:numPr>
        <w:kinsoku/>
        <w:wordWrap/>
        <w:overflowPunct/>
        <w:topLinePunct w:val="0"/>
        <w:autoSpaceDE/>
        <w:autoSpaceDN/>
        <w:bidi w:val="0"/>
        <w:adjustRightInd/>
        <w:snapToGrid/>
        <w:ind w:firstLine="640" w:firstLineChars="200"/>
        <w:textAlignment w:val="auto"/>
        <w:rPr>
          <w:rFonts w:hint="eastAsia" w:ascii="仿宋_GB2312" w:hAnsi="仿宋_GB2312" w:eastAsia="仿宋_GB2312" w:cs="仿宋_GB2312"/>
          <w:b w:val="0"/>
          <w:bCs w:val="0"/>
          <w:sz w:val="32"/>
          <w:szCs w:val="32"/>
        </w:rPr>
      </w:pPr>
      <w:r>
        <w:rPr>
          <w:rFonts w:hint="eastAsia" w:ascii="仿宋_GB2312" w:hAnsi="仿宋_GB2312" w:eastAsia="仿宋_GB2312" w:cs="仿宋_GB2312"/>
          <w:b w:val="0"/>
          <w:bCs w:val="0"/>
          <w:sz w:val="32"/>
          <w:szCs w:val="32"/>
        </w:rPr>
        <w:t>主要测查报考者运用检测仪器、工具和方法解决实际检测问题的动手操作能力及规范作业水平。</w:t>
      </w:r>
      <w:r>
        <w:rPr>
          <w:rFonts w:hint="eastAsia" w:ascii="仿宋_GB2312" w:hAnsi="仿宋_GB2312" w:eastAsia="仿宋_GB2312" w:cs="仿宋_GB2312"/>
          <w:b w:val="0"/>
          <w:bCs w:val="0"/>
          <w:sz w:val="32"/>
          <w:szCs w:val="32"/>
          <w:lang w:val="en-US" w:eastAsia="zh-CN"/>
        </w:rPr>
        <w:t>包括但不限于以下</w:t>
      </w:r>
      <w:r>
        <w:rPr>
          <w:rFonts w:hint="eastAsia" w:ascii="仿宋_GB2312" w:hAnsi="仿宋_GB2312" w:eastAsia="仿宋_GB2312" w:cs="仿宋_GB2312"/>
          <w:b w:val="0"/>
          <w:bCs w:val="0"/>
          <w:sz w:val="32"/>
          <w:szCs w:val="32"/>
        </w:rPr>
        <w:t>形式：</w:t>
      </w:r>
    </w:p>
    <w:p w14:paraId="6C20B59A">
      <w:pPr>
        <w:keepNext w:val="0"/>
        <w:keepLines w:val="0"/>
        <w:pageBreakBefore w:val="0"/>
        <w:widowControl w:val="0"/>
        <w:numPr>
          <w:ilvl w:val="0"/>
          <w:numId w:val="0"/>
        </w:numPr>
        <w:kinsoku/>
        <w:wordWrap/>
        <w:overflowPunct/>
        <w:topLinePunct w:val="0"/>
        <w:autoSpaceDE/>
        <w:autoSpaceDN/>
        <w:bidi w:val="0"/>
        <w:adjustRightInd/>
        <w:snapToGrid/>
        <w:ind w:firstLine="640" w:firstLineChars="200"/>
        <w:textAlignment w:val="auto"/>
        <w:rPr>
          <w:rFonts w:hint="eastAsia" w:ascii="仿宋_GB2312" w:hAnsi="仿宋_GB2312" w:eastAsia="仿宋_GB2312" w:cs="仿宋_GB2312"/>
          <w:b w:val="0"/>
          <w:bCs w:val="0"/>
          <w:sz w:val="32"/>
          <w:szCs w:val="32"/>
        </w:rPr>
      </w:pPr>
      <w:r>
        <w:rPr>
          <w:rFonts w:hint="eastAsia" w:ascii="仿宋_GB2312" w:hAnsi="仿宋_GB2312" w:eastAsia="仿宋_GB2312" w:cs="仿宋_GB2312"/>
          <w:b w:val="0"/>
          <w:bCs w:val="0"/>
          <w:sz w:val="32"/>
          <w:szCs w:val="32"/>
        </w:rPr>
        <w:t>（一）仪器操作与实验技能。主要测查报考者正确使用常见检测仪器设备（如电子天平、pH计、紫外可见分光光度计、原子吸收光谱仪等）进行样品前处理、参数测定、数据采集和结果计算的能力；考核操作的规范性、熟练度及安全防护意识。</w:t>
      </w:r>
    </w:p>
    <w:p w14:paraId="6A917146">
      <w:pPr>
        <w:keepNext w:val="0"/>
        <w:keepLines w:val="0"/>
        <w:pageBreakBefore w:val="0"/>
        <w:widowControl w:val="0"/>
        <w:numPr>
          <w:ilvl w:val="0"/>
          <w:numId w:val="0"/>
        </w:numPr>
        <w:kinsoku/>
        <w:wordWrap/>
        <w:overflowPunct/>
        <w:topLinePunct w:val="0"/>
        <w:autoSpaceDE/>
        <w:autoSpaceDN/>
        <w:bidi w:val="0"/>
        <w:adjustRightInd/>
        <w:snapToGrid/>
        <w:ind w:firstLine="640" w:firstLineChars="200"/>
        <w:textAlignment w:val="auto"/>
        <w:rPr>
          <w:rFonts w:hint="eastAsia" w:ascii="仿宋_GB2312" w:hAnsi="仿宋_GB2312" w:eastAsia="仿宋_GB2312" w:cs="仿宋_GB2312"/>
          <w:b w:val="0"/>
          <w:bCs w:val="0"/>
          <w:sz w:val="32"/>
          <w:szCs w:val="32"/>
        </w:rPr>
      </w:pPr>
      <w:r>
        <w:rPr>
          <w:rFonts w:hint="eastAsia" w:ascii="仿宋_GB2312" w:hAnsi="仿宋_GB2312" w:eastAsia="仿宋_GB2312" w:cs="仿宋_GB2312"/>
          <w:b w:val="0"/>
          <w:bCs w:val="0"/>
          <w:sz w:val="32"/>
          <w:szCs w:val="32"/>
        </w:rPr>
        <w:t>（二）样品管理与检验流程。主要测查报考者按照标准作业程序完成样品接收、登记、流转、制备、保存及处置的全流程操作能力；考核对检测方法标准的选择、实验条件控制及环境记录规范的执行情况。</w:t>
      </w:r>
    </w:p>
    <w:p w14:paraId="5B93B7CD">
      <w:pPr>
        <w:keepNext w:val="0"/>
        <w:keepLines w:val="0"/>
        <w:pageBreakBefore w:val="0"/>
        <w:widowControl w:val="0"/>
        <w:numPr>
          <w:ilvl w:val="0"/>
          <w:numId w:val="0"/>
        </w:numPr>
        <w:kinsoku/>
        <w:wordWrap/>
        <w:overflowPunct/>
        <w:topLinePunct w:val="0"/>
        <w:autoSpaceDE/>
        <w:autoSpaceDN/>
        <w:bidi w:val="0"/>
        <w:adjustRightInd/>
        <w:snapToGrid/>
        <w:ind w:firstLine="640" w:firstLineChars="200"/>
        <w:textAlignment w:val="auto"/>
        <w:rPr>
          <w:rFonts w:hint="eastAsia" w:ascii="仿宋_GB2312" w:hAnsi="仿宋_GB2312" w:eastAsia="仿宋_GB2312" w:cs="仿宋_GB2312"/>
          <w:b w:val="0"/>
          <w:bCs w:val="0"/>
          <w:sz w:val="32"/>
          <w:szCs w:val="32"/>
        </w:rPr>
      </w:pPr>
      <w:r>
        <w:rPr>
          <w:rFonts w:hint="eastAsia" w:ascii="仿宋_GB2312" w:hAnsi="仿宋_GB2312" w:eastAsia="仿宋_GB2312" w:cs="仿宋_GB2312"/>
          <w:b w:val="0"/>
          <w:bCs w:val="0"/>
          <w:sz w:val="32"/>
          <w:szCs w:val="32"/>
        </w:rPr>
        <w:t>（三）数据处理与报告编制。主要测查报考者对检测数据进行有效位数修约、统计学分析、异常值判定及不确定度估算的能力；以及依据原始记录规范编写检测报告、出具结论性意见并正确使用资质标识的实操水平。</w:t>
      </w:r>
    </w:p>
    <w:p w14:paraId="0963A98B">
      <w:pPr>
        <w:keepNext w:val="0"/>
        <w:keepLines w:val="0"/>
        <w:pageBreakBefore w:val="0"/>
        <w:widowControl w:val="0"/>
        <w:numPr>
          <w:ilvl w:val="0"/>
          <w:numId w:val="0"/>
        </w:numPr>
        <w:kinsoku/>
        <w:wordWrap/>
        <w:overflowPunct/>
        <w:topLinePunct w:val="0"/>
        <w:autoSpaceDE/>
        <w:autoSpaceDN/>
        <w:bidi w:val="0"/>
        <w:adjustRightInd/>
        <w:snapToGrid/>
        <w:ind w:firstLine="640" w:firstLineChars="200"/>
        <w:textAlignment w:val="auto"/>
        <w:rPr>
          <w:rFonts w:hint="eastAsia" w:ascii="仿宋_GB2312" w:hAnsi="仿宋_GB2312" w:eastAsia="仿宋_GB2312" w:cs="仿宋_GB2312"/>
          <w:b w:val="0"/>
          <w:bCs w:val="0"/>
          <w:sz w:val="32"/>
          <w:szCs w:val="32"/>
          <w:lang w:val="en-US" w:eastAsia="zh-CN"/>
        </w:rPr>
      </w:pPr>
      <w:r>
        <w:rPr>
          <w:rFonts w:hint="eastAsia" w:ascii="仿宋_GB2312" w:hAnsi="仿宋_GB2312" w:eastAsia="仿宋_GB2312" w:cs="仿宋_GB2312"/>
          <w:b w:val="0"/>
          <w:bCs w:val="0"/>
          <w:sz w:val="32"/>
          <w:szCs w:val="32"/>
        </w:rPr>
        <w:t>（四）故障排查与质量控制。主要测查报考者在仪器异常、数据偏差等情形下的故障识别、排查与简单修复能力；以及运用质控样品、空白试验、平行样测定等方式进行内部质量监控的实际操作能力。</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panose1 w:val="02010609030101010101"/>
    <w:charset w:val="86"/>
    <w:family w:val="auto"/>
    <w:pitch w:val="default"/>
    <w:sig w:usb0="00000001" w:usb1="080E0000" w:usb2="00000000" w:usb3="00000000" w:csb0="00040000" w:csb1="00000000"/>
    <w:embedRegular r:id="rId1" w:fontKey="{30C32B85-E25C-4474-AB96-F88671636849}"/>
  </w:font>
  <w:font w:name="方正小标宋简体">
    <w:panose1 w:val="02000000000000000000"/>
    <w:charset w:val="86"/>
    <w:family w:val="roman"/>
    <w:pitch w:val="default"/>
    <w:sig w:usb0="00000001" w:usb1="080E0000" w:usb2="00000000" w:usb3="00000000" w:csb0="00040000" w:csb1="00000000"/>
    <w:embedRegular r:id="rId2" w:fontKey="{FE30882A-6F58-4295-A60F-F7F23DE8FC3F}"/>
  </w:font>
  <w:font w:name="微软雅黑">
    <w:panose1 w:val="020B0503020204020204"/>
    <w:charset w:val="86"/>
    <w:family w:val="auto"/>
    <w:pitch w:val="default"/>
    <w:sig w:usb0="80000287" w:usb1="2ACF3C50" w:usb2="00000016" w:usb3="00000000" w:csb0="0004001F" w:csb1="00000000"/>
  </w:font>
  <w:font w:name="Tahoma">
    <w:panose1 w:val="020B0604030504040204"/>
    <w:charset w:val="00"/>
    <w:family w:val="auto"/>
    <w:pitch w:val="default"/>
    <w:sig w:usb0="E1002EFF" w:usb1="C000605B" w:usb2="00000029" w:usb3="00000000" w:csb0="200101FF" w:csb1="2028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0"/>
  <w:embedTrueTypeFonts/>
  <w:saveSubset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KGWebUrl" w:val="http://10.193.80.135/weaver/weaver.file.FileDownloadForNews?uuid=6265e5d9-5aed-4158-9dd2-1bee89469340&amp;fileid=1872166&amp;type=document&amp;isofficeview=0&amp;requestid=1717447&amp;authStr=dmlld0NoYWluPTE3MTc0NDd8bWFpbmlkPTE3MTc0NDd8&amp;authSignatureStr=f02d282cff09c5161bf9d2cf0b83fbdc&amp;f_weaver_belongto_userid=1733&amp;isrequest=1&amp;download=1&amp;f_weaver_belongto_usertype=0"/>
  </w:docVars>
  <w:rsids>
    <w:rsidRoot w:val="233C7432"/>
    <w:rsid w:val="04B01BAD"/>
    <w:rsid w:val="06067280"/>
    <w:rsid w:val="233C7432"/>
    <w:rsid w:val="25FA2F5D"/>
    <w:rsid w:val="284D1E4D"/>
    <w:rsid w:val="3D165051"/>
    <w:rsid w:val="51351FA8"/>
    <w:rsid w:val="66C81C5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0"/>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4">
    <w:name w:val="Default Paragraph Font"/>
    <w:semiHidden/>
    <w:qFormat/>
    <w:uiPriority w:val="0"/>
  </w:style>
  <w:style w:type="table" w:default="1" w:styleId="3">
    <w:name w:val="Normal Table"/>
    <w:semiHidden/>
    <w:qFormat/>
    <w:uiPriority w:val="0"/>
    <w:tblPr>
      <w:tblCellMar>
        <w:top w:w="0" w:type="dxa"/>
        <w:left w:w="108" w:type="dxa"/>
        <w:bottom w:w="0" w:type="dxa"/>
        <w:right w:w="108" w:type="dxa"/>
      </w:tblCellMar>
    </w:tblPr>
  </w:style>
  <w:style w:type="paragraph" w:styleId="2">
    <w:name w:val="Normal (Web)"/>
    <w:basedOn w:val="1"/>
    <w:qFormat/>
    <w:uiPriority w:val="0"/>
    <w:pPr>
      <w:spacing w:before="0" w:beforeAutospacing="1" w:after="0" w:afterAutospacing="1"/>
      <w:ind w:left="0" w:right="0"/>
      <w:jc w:val="left"/>
    </w:pPr>
    <w:rPr>
      <w:kern w:val="0"/>
      <w:sz w:val="24"/>
      <w:lang w:val="en-US" w:eastAsia="zh-CN" w:bidi="ar"/>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4</Pages>
  <Words>1402</Words>
  <Characters>1415</Characters>
  <Lines>0</Lines>
  <Paragraphs>0</Paragraphs>
  <TotalTime>75</TotalTime>
  <ScaleCrop>false</ScaleCrop>
  <LinksUpToDate>false</LinksUpToDate>
  <CharactersWithSpaces>1416</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2026-07-24T07:20:00Z</dcterms:created>
  <dc:creator>张妍瑜</dc:creator>
  <cp:lastModifiedBy>林晴</cp:lastModifiedBy>
  <dcterms:modified xsi:type="dcterms:W3CDTF">2026-08-06T08:33:08Z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856C10E895A94BEBAFC7F151E689C3A6_13</vt:lpwstr>
  </property>
  <property fmtid="{D5CDD505-2E9C-101B-9397-08002B2CF9AE}" pid="4" name="KSOTemplateDocerSaveRecord">
    <vt:lpwstr>eyJoZGlkIjoiYzA4ODBiMjViNWE5OGZlMTc0NzUzZGUyZTMwNmQ4NzUiLCJ1c2VySWQiOiIxNjc2NTQzMzEzIn0=</vt:lpwstr>
  </property>
</Properties>
</file>